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7F1" w:rsidRPr="005E57F1" w:rsidRDefault="005E57F1" w:rsidP="005E57F1">
      <w:pPr>
        <w:spacing w:before="100" w:beforeAutospacing="1" w:after="48" w:line="240" w:lineRule="auto"/>
        <w:outlineLvl w:val="0"/>
        <w:rPr>
          <w:rFonts w:ascii="Arial" w:eastAsia="Times New Roman" w:hAnsi="Arial" w:cs="Arial"/>
          <w:b/>
          <w:bCs/>
          <w:color w:val="00A1DE"/>
          <w:kern w:val="36"/>
          <w:sz w:val="27"/>
          <w:szCs w:val="27"/>
        </w:rPr>
      </w:pPr>
      <w:r w:rsidRPr="005E57F1">
        <w:rPr>
          <w:rFonts w:ascii="Arial" w:eastAsia="Times New Roman" w:hAnsi="Arial" w:cs="Arial"/>
          <w:b/>
          <w:bCs/>
          <w:color w:val="00A1DE"/>
          <w:kern w:val="36"/>
          <w:sz w:val="27"/>
          <w:szCs w:val="27"/>
        </w:rPr>
        <w:t>De 10 kengetallen</w:t>
      </w:r>
      <w:r>
        <w:rPr>
          <w:rFonts w:ascii="Arial" w:eastAsia="Times New Roman" w:hAnsi="Arial" w:cs="Arial"/>
          <w:b/>
          <w:bCs/>
          <w:color w:val="00A1DE"/>
          <w:kern w:val="36"/>
          <w:sz w:val="27"/>
          <w:szCs w:val="27"/>
        </w:rPr>
        <w:t xml:space="preserve">                                                                       </w:t>
      </w:r>
      <w:r w:rsidRPr="005E57F1">
        <w:rPr>
          <w:rFonts w:ascii="Arial" w:eastAsia="Times New Roman" w:hAnsi="Arial" w:cs="Arial"/>
          <w:b/>
          <w:bCs/>
          <w:color w:val="00A1DE"/>
          <w:kern w:val="36"/>
          <w:sz w:val="18"/>
          <w:szCs w:val="18"/>
        </w:rPr>
        <w:t>(bron:Deloitte)</w:t>
      </w:r>
    </w:p>
    <w:tbl>
      <w:tblPr>
        <w:tblW w:w="5000" w:type="pct"/>
        <w:tblCellSpacing w:w="0" w:type="dxa"/>
        <w:tblCellMar>
          <w:left w:w="0" w:type="dxa"/>
          <w:right w:w="0" w:type="dxa"/>
        </w:tblCellMar>
        <w:tblLook w:val="04A0"/>
      </w:tblPr>
      <w:tblGrid>
        <w:gridCol w:w="1654"/>
        <w:gridCol w:w="1574"/>
        <w:gridCol w:w="1716"/>
        <w:gridCol w:w="4278"/>
      </w:tblGrid>
      <w:tr w:rsidR="005E57F1" w:rsidRPr="005E57F1" w:rsidTr="005E57F1">
        <w:trPr>
          <w:tblCellSpacing w:w="0" w:type="dxa"/>
        </w:trPr>
        <w:tc>
          <w:tcPr>
            <w:tcW w:w="0" w:type="auto"/>
            <w:shd w:val="clear" w:color="auto" w:fill="00A1DE"/>
            <w:tcMar>
              <w:top w:w="75" w:type="dxa"/>
              <w:left w:w="75" w:type="dxa"/>
              <w:bottom w:w="75" w:type="dxa"/>
              <w:right w:w="75" w:type="dxa"/>
            </w:tcMar>
            <w:hideMark/>
          </w:tcPr>
          <w:p w:rsidR="005E57F1" w:rsidRPr="005E57F1" w:rsidRDefault="005E57F1" w:rsidP="005E57F1">
            <w:pPr>
              <w:pStyle w:val="Geenafstand"/>
              <w:rPr>
                <w:rFonts w:ascii="Arial" w:eastAsia="Times New Roman" w:hAnsi="Arial" w:cs="Arial"/>
                <w:b/>
                <w:color w:val="FFFFFF" w:themeColor="background1"/>
                <w:sz w:val="16"/>
                <w:szCs w:val="16"/>
              </w:rPr>
            </w:pPr>
            <w:r w:rsidRPr="005E57F1">
              <w:rPr>
                <w:rFonts w:ascii="Arial" w:eastAsia="Times New Roman" w:hAnsi="Arial" w:cs="Arial"/>
                <w:b/>
                <w:color w:val="FFFFFF" w:themeColor="background1"/>
                <w:sz w:val="16"/>
                <w:szCs w:val="16"/>
              </w:rPr>
              <w:t>Evaluatie van …</w:t>
            </w:r>
          </w:p>
        </w:tc>
        <w:tc>
          <w:tcPr>
            <w:tcW w:w="0" w:type="auto"/>
            <w:shd w:val="clear" w:color="auto" w:fill="00A1DE"/>
            <w:tcMar>
              <w:top w:w="75" w:type="dxa"/>
              <w:left w:w="75" w:type="dxa"/>
              <w:bottom w:w="75" w:type="dxa"/>
              <w:right w:w="75" w:type="dxa"/>
            </w:tcMar>
            <w:hideMark/>
          </w:tcPr>
          <w:p w:rsidR="005E57F1" w:rsidRPr="005E57F1" w:rsidRDefault="005E57F1" w:rsidP="005E57F1">
            <w:pPr>
              <w:pStyle w:val="Geenafstand"/>
              <w:rPr>
                <w:rFonts w:ascii="Arial" w:eastAsia="Times New Roman" w:hAnsi="Arial" w:cs="Arial"/>
                <w:b/>
                <w:color w:val="FFFFFF" w:themeColor="background1"/>
                <w:sz w:val="16"/>
                <w:szCs w:val="16"/>
              </w:rPr>
            </w:pPr>
            <w:r w:rsidRPr="005E57F1">
              <w:rPr>
                <w:rFonts w:ascii="Arial" w:eastAsia="Times New Roman" w:hAnsi="Arial" w:cs="Arial"/>
                <w:b/>
                <w:color w:val="FFFFFF" w:themeColor="background1"/>
                <w:sz w:val="16"/>
                <w:szCs w:val="16"/>
              </w:rPr>
              <w:t>Ratio</w:t>
            </w:r>
          </w:p>
        </w:tc>
        <w:tc>
          <w:tcPr>
            <w:tcW w:w="0" w:type="auto"/>
            <w:shd w:val="clear" w:color="auto" w:fill="00A1DE"/>
            <w:tcMar>
              <w:top w:w="75" w:type="dxa"/>
              <w:left w:w="75" w:type="dxa"/>
              <w:bottom w:w="75" w:type="dxa"/>
              <w:right w:w="75" w:type="dxa"/>
            </w:tcMar>
            <w:hideMark/>
          </w:tcPr>
          <w:p w:rsidR="005E57F1" w:rsidRPr="005E57F1" w:rsidRDefault="005E57F1" w:rsidP="005E57F1">
            <w:pPr>
              <w:pStyle w:val="Geenafstand"/>
              <w:rPr>
                <w:rFonts w:ascii="Arial" w:eastAsia="Times New Roman" w:hAnsi="Arial" w:cs="Arial"/>
                <w:b/>
                <w:color w:val="FFFFFF" w:themeColor="background1"/>
                <w:sz w:val="16"/>
                <w:szCs w:val="16"/>
              </w:rPr>
            </w:pPr>
            <w:r w:rsidRPr="005E57F1">
              <w:rPr>
                <w:rFonts w:ascii="Arial" w:eastAsia="Times New Roman" w:hAnsi="Arial" w:cs="Arial"/>
                <w:b/>
                <w:color w:val="FFFFFF" w:themeColor="background1"/>
                <w:sz w:val="16"/>
                <w:szCs w:val="16"/>
              </w:rPr>
              <w:t>Definitie</w:t>
            </w:r>
          </w:p>
        </w:tc>
        <w:tc>
          <w:tcPr>
            <w:tcW w:w="1515" w:type="dxa"/>
            <w:shd w:val="clear" w:color="auto" w:fill="00A1DE"/>
            <w:tcMar>
              <w:top w:w="75" w:type="dxa"/>
              <w:left w:w="75" w:type="dxa"/>
              <w:bottom w:w="75" w:type="dxa"/>
              <w:right w:w="75" w:type="dxa"/>
            </w:tcMar>
            <w:hideMark/>
          </w:tcPr>
          <w:p w:rsidR="005E57F1" w:rsidRPr="005E57F1" w:rsidRDefault="005E57F1" w:rsidP="005E57F1">
            <w:pPr>
              <w:pStyle w:val="Geenafstand"/>
              <w:rPr>
                <w:rFonts w:ascii="Arial" w:eastAsia="Times New Roman" w:hAnsi="Arial" w:cs="Arial"/>
                <w:b/>
                <w:color w:val="FFFFFF" w:themeColor="background1"/>
                <w:sz w:val="16"/>
                <w:szCs w:val="16"/>
              </w:rPr>
            </w:pPr>
            <w:r w:rsidRPr="005E57F1">
              <w:rPr>
                <w:rFonts w:ascii="Arial" w:eastAsia="Times New Roman" w:hAnsi="Arial" w:cs="Arial"/>
                <w:b/>
                <w:color w:val="FFFFFF" w:themeColor="background1"/>
                <w:sz w:val="16"/>
                <w:szCs w:val="16"/>
              </w:rPr>
              <w:t>Opmerking</w:t>
            </w:r>
          </w:p>
        </w:tc>
      </w:tr>
      <w:tr w:rsidR="005E57F1" w:rsidRPr="005E57F1" w:rsidTr="005E57F1">
        <w:trPr>
          <w:tblCellSpacing w:w="0" w:type="dxa"/>
        </w:trPr>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t>Reële solvabiliteit</w:t>
            </w:r>
          </w:p>
        </w:tc>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t xml:space="preserve">Reëel eigen vermogen </w:t>
            </w:r>
          </w:p>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pict>
                <v:rect id="_x0000_i1025" style="width:0;height:1.5pt" o:hralign="center" o:hrstd="t" o:hr="t" fillcolor="#a0a0a0" stroked="f"/>
              </w:pict>
            </w:r>
          </w:p>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t>Totaal vermogen</w:t>
            </w:r>
          </w:p>
        </w:tc>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t>Eigen vermogen +</w:t>
            </w:r>
            <w:r w:rsidRPr="005E57F1">
              <w:rPr>
                <w:rFonts w:ascii="Arial" w:eastAsia="Times New Roman" w:hAnsi="Arial" w:cs="Arial"/>
                <w:color w:val="333333"/>
                <w:sz w:val="16"/>
                <w:szCs w:val="16"/>
                <w:u w:val="single"/>
              </w:rPr>
              <w:br/>
            </w:r>
            <w:r w:rsidRPr="005E57F1">
              <w:rPr>
                <w:rFonts w:ascii="Arial" w:eastAsia="Times New Roman" w:hAnsi="Arial" w:cs="Arial"/>
                <w:color w:val="333333"/>
                <w:sz w:val="16"/>
                <w:szCs w:val="16"/>
              </w:rPr>
              <w:t xml:space="preserve">Rekeningen-courant </w:t>
            </w:r>
          </w:p>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pict>
                <v:rect id="_x0000_i1026" style="width:0;height:1.5pt" o:hralign="center" o:hrstd="t" o:hr="t" fillcolor="#a0a0a0" stroked="f"/>
              </w:pict>
            </w:r>
          </w:p>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t>Totaal vermogen</w:t>
            </w:r>
          </w:p>
        </w:tc>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t xml:space="preserve">De credit rekeningen-courant (R/C) van aandeelhouders, vennoten, bestuurders of zaakvoerders worden als </w:t>
            </w:r>
            <w:proofErr w:type="spellStart"/>
            <w:r w:rsidRPr="005E57F1">
              <w:rPr>
                <w:rFonts w:ascii="Arial" w:eastAsia="Times New Roman" w:hAnsi="Arial" w:cs="Arial"/>
                <w:color w:val="333333"/>
                <w:sz w:val="16"/>
                <w:szCs w:val="16"/>
              </w:rPr>
              <w:t>quasi-eigenvermogen</w:t>
            </w:r>
            <w:proofErr w:type="spellEnd"/>
            <w:r w:rsidRPr="005E57F1">
              <w:rPr>
                <w:rFonts w:ascii="Arial" w:eastAsia="Times New Roman" w:hAnsi="Arial" w:cs="Arial"/>
                <w:color w:val="333333"/>
                <w:sz w:val="16"/>
                <w:szCs w:val="16"/>
              </w:rPr>
              <w:t xml:space="preserve"> beschouwd.</w:t>
            </w:r>
          </w:p>
        </w:tc>
      </w:tr>
      <w:tr w:rsidR="005E57F1" w:rsidRPr="005E57F1" w:rsidTr="005E57F1">
        <w:trPr>
          <w:tblCellSpacing w:w="0" w:type="dxa"/>
        </w:trPr>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pStyle w:val="Geenafstand"/>
              <w:rPr>
                <w:rFonts w:ascii="Arial" w:eastAsia="Times New Roman" w:hAnsi="Arial" w:cs="Arial"/>
                <w:color w:val="333333"/>
                <w:sz w:val="16"/>
                <w:szCs w:val="16"/>
              </w:rPr>
            </w:pPr>
            <w:proofErr w:type="spellStart"/>
            <w:r w:rsidRPr="005E57F1">
              <w:rPr>
                <w:rFonts w:ascii="Arial" w:eastAsia="Times New Roman" w:hAnsi="Arial" w:cs="Arial"/>
                <w:color w:val="333333"/>
                <w:sz w:val="16"/>
                <w:szCs w:val="16"/>
              </w:rPr>
              <w:t>Terugbetalings-capaciteit</w:t>
            </w:r>
            <w:proofErr w:type="spellEnd"/>
          </w:p>
        </w:tc>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t xml:space="preserve">Dekking van de financiële verplichtingen op korte termijn door de netto operationele cash </w:t>
            </w:r>
            <w:proofErr w:type="spellStart"/>
            <w:r w:rsidRPr="005E57F1">
              <w:rPr>
                <w:rFonts w:ascii="Arial" w:eastAsia="Times New Roman" w:hAnsi="Arial" w:cs="Arial"/>
                <w:color w:val="333333"/>
                <w:sz w:val="16"/>
                <w:szCs w:val="16"/>
              </w:rPr>
              <w:t>flow</w:t>
            </w:r>
            <w:proofErr w:type="spellEnd"/>
          </w:p>
        </w:tc>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t xml:space="preserve">Netto operationele cash </w:t>
            </w:r>
            <w:proofErr w:type="spellStart"/>
            <w:r w:rsidRPr="005E57F1">
              <w:rPr>
                <w:rFonts w:ascii="Arial" w:eastAsia="Times New Roman" w:hAnsi="Arial" w:cs="Arial"/>
                <w:color w:val="333333"/>
                <w:sz w:val="16"/>
                <w:szCs w:val="16"/>
              </w:rPr>
              <w:t>flow</w:t>
            </w:r>
            <w:proofErr w:type="spellEnd"/>
            <w:r w:rsidRPr="005E57F1">
              <w:rPr>
                <w:rFonts w:ascii="Arial" w:eastAsia="Times New Roman" w:hAnsi="Arial" w:cs="Arial"/>
                <w:color w:val="333333"/>
                <w:sz w:val="16"/>
                <w:szCs w:val="16"/>
              </w:rPr>
              <w:t xml:space="preserve"> </w:t>
            </w:r>
          </w:p>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pict>
                <v:rect id="_x0000_i1027" style="width:0;height:1.5pt" o:hralign="center" o:hrstd="t" o:hr="t" fillcolor="#a0a0a0" stroked="f"/>
              </w:pict>
            </w:r>
          </w:p>
          <w:p w:rsidR="005E57F1" w:rsidRPr="005E57F1" w:rsidRDefault="005E57F1" w:rsidP="005E57F1">
            <w:pPr>
              <w:pStyle w:val="Geenafstand"/>
              <w:rPr>
                <w:rFonts w:ascii="Arial" w:eastAsia="Times New Roman" w:hAnsi="Arial" w:cs="Arial"/>
                <w:color w:val="333333"/>
                <w:sz w:val="16"/>
                <w:szCs w:val="16"/>
              </w:rPr>
            </w:pPr>
            <w:proofErr w:type="spellStart"/>
            <w:r w:rsidRPr="005E57F1">
              <w:rPr>
                <w:rFonts w:ascii="Arial" w:eastAsia="Times New Roman" w:hAnsi="Arial" w:cs="Arial"/>
                <w:color w:val="333333"/>
                <w:sz w:val="16"/>
                <w:szCs w:val="16"/>
              </w:rPr>
              <w:t>Langetermijnschulden</w:t>
            </w:r>
            <w:proofErr w:type="spellEnd"/>
            <w:r w:rsidRPr="005E57F1">
              <w:rPr>
                <w:rFonts w:ascii="Arial" w:eastAsia="Times New Roman" w:hAnsi="Arial" w:cs="Arial"/>
                <w:color w:val="333333"/>
                <w:sz w:val="16"/>
                <w:szCs w:val="16"/>
              </w:rPr>
              <w:t xml:space="preserve"> die binnen het jaar vervallen + netto intrest op vreemd vermogen (exclusief intrest rekening-courant)</w:t>
            </w:r>
          </w:p>
        </w:tc>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t xml:space="preserve">De netto operationele cash </w:t>
            </w:r>
            <w:proofErr w:type="spellStart"/>
            <w:r w:rsidRPr="005E57F1">
              <w:rPr>
                <w:rFonts w:ascii="Arial" w:eastAsia="Times New Roman" w:hAnsi="Arial" w:cs="Arial"/>
                <w:color w:val="333333"/>
                <w:sz w:val="16"/>
                <w:szCs w:val="16"/>
              </w:rPr>
              <w:t>flow</w:t>
            </w:r>
            <w:proofErr w:type="spellEnd"/>
            <w:r w:rsidRPr="005E57F1">
              <w:rPr>
                <w:rFonts w:ascii="Arial" w:eastAsia="Times New Roman" w:hAnsi="Arial" w:cs="Arial"/>
                <w:color w:val="333333"/>
                <w:sz w:val="16"/>
                <w:szCs w:val="16"/>
              </w:rPr>
              <w:t xml:space="preserve"> is de netto cash </w:t>
            </w:r>
            <w:proofErr w:type="spellStart"/>
            <w:r w:rsidRPr="005E57F1">
              <w:rPr>
                <w:rFonts w:ascii="Arial" w:eastAsia="Times New Roman" w:hAnsi="Arial" w:cs="Arial"/>
                <w:color w:val="333333"/>
                <w:sz w:val="16"/>
                <w:szCs w:val="16"/>
              </w:rPr>
              <w:t>flow</w:t>
            </w:r>
            <w:proofErr w:type="spellEnd"/>
            <w:r w:rsidRPr="005E57F1">
              <w:rPr>
                <w:rFonts w:ascii="Arial" w:eastAsia="Times New Roman" w:hAnsi="Arial" w:cs="Arial"/>
                <w:color w:val="333333"/>
                <w:sz w:val="16"/>
                <w:szCs w:val="16"/>
              </w:rPr>
              <w:t xml:space="preserve"> na belastingen die de onderneming uit haar bedrijfsactiviteit genereert, zonder rekening te houden met de kosten van financiering of opbrengst van financiële beleggingen.</w:t>
            </w:r>
          </w:p>
        </w:tc>
      </w:tr>
      <w:tr w:rsidR="005E57F1" w:rsidRPr="005E57F1" w:rsidTr="005E57F1">
        <w:trPr>
          <w:tblCellSpacing w:w="0" w:type="dxa"/>
        </w:trPr>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t>Liquiditeit</w:t>
            </w:r>
          </w:p>
        </w:tc>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pStyle w:val="Geenafstand"/>
              <w:rPr>
                <w:rFonts w:ascii="Arial" w:eastAsia="Times New Roman" w:hAnsi="Arial" w:cs="Arial"/>
                <w:color w:val="333333"/>
                <w:sz w:val="16"/>
                <w:szCs w:val="16"/>
              </w:rPr>
            </w:pPr>
            <w:proofErr w:type="spellStart"/>
            <w:r w:rsidRPr="005E57F1">
              <w:rPr>
                <w:rFonts w:ascii="Arial" w:eastAsia="Times New Roman" w:hAnsi="Arial" w:cs="Arial"/>
                <w:color w:val="333333"/>
                <w:sz w:val="16"/>
                <w:szCs w:val="16"/>
              </w:rPr>
              <w:t>Current</w:t>
            </w:r>
            <w:proofErr w:type="spellEnd"/>
            <w:r w:rsidRPr="005E57F1">
              <w:rPr>
                <w:rFonts w:ascii="Arial" w:eastAsia="Times New Roman" w:hAnsi="Arial" w:cs="Arial"/>
                <w:color w:val="333333"/>
                <w:sz w:val="16"/>
                <w:szCs w:val="16"/>
              </w:rPr>
              <w:t xml:space="preserve"> ratio</w:t>
            </w:r>
          </w:p>
        </w:tc>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t xml:space="preserve">(Gecorrigeerde) vlottende activa </w:t>
            </w:r>
          </w:p>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pict>
                <v:rect id="_x0000_i1028" style="width:0;height:1.5pt" o:hralign="center" o:hrstd="t" o:hr="t" fillcolor="#a0a0a0" stroked="f"/>
              </w:pict>
            </w:r>
          </w:p>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t>(Gecorrigeerd) vreemd vermogen</w:t>
            </w:r>
            <w:r w:rsidRPr="005E57F1">
              <w:rPr>
                <w:rFonts w:ascii="Arial" w:eastAsia="Times New Roman" w:hAnsi="Arial" w:cs="Arial"/>
                <w:color w:val="333333"/>
                <w:sz w:val="16"/>
                <w:szCs w:val="16"/>
              </w:rPr>
              <w:br/>
              <w:t>op korte termijn</w:t>
            </w:r>
          </w:p>
        </w:tc>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t>Zowel in teller als in noemer houden we geen rekening met de rekeningen-courant van aandeelhouders en bedrijfsleiders.</w:t>
            </w:r>
          </w:p>
        </w:tc>
      </w:tr>
      <w:tr w:rsidR="005E57F1" w:rsidRPr="005E57F1" w:rsidTr="005E57F1">
        <w:trPr>
          <w:tblCellSpacing w:w="0" w:type="dxa"/>
        </w:trPr>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t>Behoefte aan werkkapitaal</w:t>
            </w:r>
          </w:p>
        </w:tc>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t xml:space="preserve">Behoefte aan bedrijfskapitaal </w:t>
            </w:r>
          </w:p>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pict>
                <v:rect id="_x0000_i1029" style="width:0;height:1.5pt" o:hralign="center" o:hrstd="t" o:hr="t" fillcolor="#a0a0a0" stroked="f"/>
              </w:pict>
            </w:r>
          </w:p>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t>Bedrijfsopbrengsten</w:t>
            </w:r>
          </w:p>
        </w:tc>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t xml:space="preserve">Voorraad + (Operationele vorderingen – operationele schulden) op korte termijn </w:t>
            </w:r>
          </w:p>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pict>
                <v:rect id="_x0000_i1030" style="width:0;height:1.5pt" o:hralign="center" o:hrstd="t" o:hr="t" fillcolor="#a0a0a0" stroked="f"/>
              </w:pict>
            </w:r>
          </w:p>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t>Bedrijfsopbrengsten</w:t>
            </w:r>
          </w:p>
        </w:tc>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t>Behoefte aan bedrijfskapitaal: exclusief R/C en voorschotten van zaakvoerders/bestuurders.</w:t>
            </w:r>
          </w:p>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t>Bedrijfsopbrengsten, exclusief recuperatie van sociale lasten.</w:t>
            </w:r>
          </w:p>
        </w:tc>
      </w:tr>
      <w:tr w:rsidR="005E57F1" w:rsidRPr="005E57F1" w:rsidTr="005E57F1">
        <w:trPr>
          <w:tblCellSpacing w:w="0" w:type="dxa"/>
        </w:trPr>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t xml:space="preserve">Zuivere </w:t>
            </w:r>
            <w:proofErr w:type="spellStart"/>
            <w:r w:rsidRPr="005E57F1">
              <w:rPr>
                <w:rFonts w:ascii="Arial" w:eastAsia="Times New Roman" w:hAnsi="Arial" w:cs="Arial"/>
                <w:color w:val="333333"/>
                <w:sz w:val="16"/>
                <w:szCs w:val="16"/>
              </w:rPr>
              <w:t>toegevoegdewaarde-marge</w:t>
            </w:r>
            <w:proofErr w:type="spellEnd"/>
          </w:p>
        </w:tc>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t xml:space="preserve">Zuivere toegevoegde waarde </w:t>
            </w:r>
          </w:p>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pict>
                <v:rect id="_x0000_i1031" style="width:0;height:1.5pt" o:hralign="center" o:hrstd="t" o:hr="t" fillcolor="#a0a0a0" stroked="f"/>
              </w:pict>
            </w:r>
          </w:p>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t>Bedrijfsopbrengsten</w:t>
            </w:r>
          </w:p>
        </w:tc>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t>Bedrijfsopbrengsten – aankopen</w:t>
            </w:r>
            <w:r w:rsidRPr="005E57F1">
              <w:rPr>
                <w:rFonts w:ascii="Arial" w:eastAsia="Times New Roman" w:hAnsi="Arial" w:cs="Arial"/>
                <w:color w:val="333333"/>
                <w:sz w:val="16"/>
                <w:szCs w:val="16"/>
              </w:rPr>
              <w:br/>
              <w:t xml:space="preserve">– externe diensten en diverse goederen </w:t>
            </w:r>
          </w:p>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pict>
                <v:rect id="_x0000_i1032" style="width:0;height:1.5pt" o:hralign="center" o:hrstd="t" o:hr="t" fillcolor="#a0a0a0" stroked="f"/>
              </w:pict>
            </w:r>
          </w:p>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t>Bedrijfsopbrengsten</w:t>
            </w:r>
          </w:p>
        </w:tc>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pStyle w:val="Geenafstand"/>
              <w:rPr>
                <w:rFonts w:ascii="Arial" w:eastAsia="Times New Roman" w:hAnsi="Arial" w:cs="Arial"/>
                <w:color w:val="333333"/>
                <w:sz w:val="16"/>
                <w:szCs w:val="16"/>
              </w:rPr>
            </w:pPr>
            <w:r w:rsidRPr="005E57F1">
              <w:rPr>
                <w:rFonts w:ascii="Arial" w:eastAsia="Times New Roman" w:hAnsi="Arial" w:cs="Arial"/>
                <w:color w:val="333333"/>
                <w:sz w:val="16"/>
                <w:szCs w:val="16"/>
              </w:rPr>
              <w:t xml:space="preserve">De zuivere toegevoegde waarde houdt geen rekening met de recuperatie van sociale lasten, de </w:t>
            </w:r>
            <w:proofErr w:type="spellStart"/>
            <w:r w:rsidRPr="005E57F1">
              <w:rPr>
                <w:rFonts w:ascii="Arial" w:eastAsia="Times New Roman" w:hAnsi="Arial" w:cs="Arial"/>
                <w:color w:val="333333"/>
                <w:sz w:val="16"/>
                <w:szCs w:val="16"/>
              </w:rPr>
              <w:t>interimkosten</w:t>
            </w:r>
            <w:proofErr w:type="spellEnd"/>
            <w:r w:rsidRPr="005E57F1">
              <w:rPr>
                <w:rFonts w:ascii="Arial" w:eastAsia="Times New Roman" w:hAnsi="Arial" w:cs="Arial"/>
                <w:color w:val="333333"/>
                <w:sz w:val="16"/>
                <w:szCs w:val="16"/>
              </w:rPr>
              <w:t xml:space="preserve"> en de bestuurdersvergoedingen. Deze drie posten beschouwen we hier immers als loonkosten.</w:t>
            </w:r>
          </w:p>
        </w:tc>
      </w:tr>
    </w:tbl>
    <w:p w:rsidR="005E57F1" w:rsidRPr="005E57F1" w:rsidRDefault="005E57F1" w:rsidP="005E57F1">
      <w:pPr>
        <w:spacing w:after="0" w:line="240" w:lineRule="auto"/>
        <w:rPr>
          <w:rFonts w:ascii="Arial" w:eastAsia="Times New Roman" w:hAnsi="Arial" w:cs="Arial"/>
          <w:vanish/>
          <w:sz w:val="18"/>
          <w:szCs w:val="18"/>
        </w:rPr>
      </w:pPr>
    </w:p>
    <w:tbl>
      <w:tblPr>
        <w:tblW w:w="5000" w:type="pct"/>
        <w:tblCellSpacing w:w="0" w:type="dxa"/>
        <w:tblCellMar>
          <w:left w:w="0" w:type="dxa"/>
          <w:right w:w="0" w:type="dxa"/>
        </w:tblCellMar>
        <w:tblLook w:val="04A0"/>
      </w:tblPr>
      <w:tblGrid>
        <w:gridCol w:w="1767"/>
        <w:gridCol w:w="1409"/>
        <w:gridCol w:w="1556"/>
        <w:gridCol w:w="4490"/>
      </w:tblGrid>
      <w:tr w:rsidR="005E57F1" w:rsidRPr="005E57F1" w:rsidTr="005E57F1">
        <w:trPr>
          <w:tblCellSpacing w:w="0" w:type="dxa"/>
        </w:trPr>
        <w:tc>
          <w:tcPr>
            <w:tcW w:w="0" w:type="auto"/>
            <w:shd w:val="clear" w:color="auto" w:fill="00A1DE"/>
            <w:tcMar>
              <w:top w:w="75" w:type="dxa"/>
              <w:left w:w="75" w:type="dxa"/>
              <w:bottom w:w="75" w:type="dxa"/>
              <w:right w:w="75" w:type="dxa"/>
            </w:tcMar>
            <w:hideMark/>
          </w:tcPr>
          <w:p w:rsidR="005E57F1" w:rsidRPr="005E57F1" w:rsidRDefault="005E57F1" w:rsidP="005E57F1">
            <w:pPr>
              <w:spacing w:after="0" w:line="240" w:lineRule="auto"/>
              <w:rPr>
                <w:rFonts w:ascii="Arial" w:eastAsia="Times New Roman" w:hAnsi="Arial" w:cs="Arial"/>
                <w:color w:val="FFFFFF"/>
                <w:sz w:val="16"/>
                <w:szCs w:val="16"/>
              </w:rPr>
            </w:pPr>
            <w:r w:rsidRPr="005E57F1">
              <w:rPr>
                <w:rFonts w:ascii="Arial" w:eastAsia="Times New Roman" w:hAnsi="Arial" w:cs="Arial"/>
                <w:b/>
                <w:bCs/>
                <w:color w:val="FFFFFF"/>
                <w:sz w:val="16"/>
                <w:szCs w:val="16"/>
              </w:rPr>
              <w:t>Evaluatie van …</w:t>
            </w:r>
          </w:p>
        </w:tc>
        <w:tc>
          <w:tcPr>
            <w:tcW w:w="0" w:type="auto"/>
            <w:shd w:val="clear" w:color="auto" w:fill="00A1DE"/>
            <w:tcMar>
              <w:top w:w="75" w:type="dxa"/>
              <w:left w:w="75" w:type="dxa"/>
              <w:bottom w:w="75" w:type="dxa"/>
              <w:right w:w="75" w:type="dxa"/>
            </w:tcMar>
            <w:hideMark/>
          </w:tcPr>
          <w:p w:rsidR="005E57F1" w:rsidRPr="005E57F1" w:rsidRDefault="005E57F1" w:rsidP="005E57F1">
            <w:pPr>
              <w:spacing w:after="0" w:line="240" w:lineRule="auto"/>
              <w:rPr>
                <w:rFonts w:ascii="Arial" w:eastAsia="Times New Roman" w:hAnsi="Arial" w:cs="Arial"/>
                <w:color w:val="FFFFFF"/>
                <w:sz w:val="16"/>
                <w:szCs w:val="16"/>
              </w:rPr>
            </w:pPr>
            <w:r w:rsidRPr="005E57F1">
              <w:rPr>
                <w:rFonts w:ascii="Arial" w:eastAsia="Times New Roman" w:hAnsi="Arial" w:cs="Arial"/>
                <w:b/>
                <w:bCs/>
                <w:color w:val="FFFFFF"/>
                <w:sz w:val="16"/>
                <w:szCs w:val="16"/>
              </w:rPr>
              <w:t>Ratio</w:t>
            </w:r>
          </w:p>
        </w:tc>
        <w:tc>
          <w:tcPr>
            <w:tcW w:w="0" w:type="auto"/>
            <w:shd w:val="clear" w:color="auto" w:fill="00A1DE"/>
            <w:tcMar>
              <w:top w:w="75" w:type="dxa"/>
              <w:left w:w="75" w:type="dxa"/>
              <w:bottom w:w="75" w:type="dxa"/>
              <w:right w:w="75" w:type="dxa"/>
            </w:tcMar>
            <w:hideMark/>
          </w:tcPr>
          <w:p w:rsidR="005E57F1" w:rsidRPr="005E57F1" w:rsidRDefault="005E57F1" w:rsidP="005E57F1">
            <w:pPr>
              <w:spacing w:after="0" w:line="240" w:lineRule="auto"/>
              <w:rPr>
                <w:rFonts w:ascii="Arial" w:eastAsia="Times New Roman" w:hAnsi="Arial" w:cs="Arial"/>
                <w:color w:val="FFFFFF"/>
                <w:sz w:val="16"/>
                <w:szCs w:val="16"/>
              </w:rPr>
            </w:pPr>
            <w:r w:rsidRPr="005E57F1">
              <w:rPr>
                <w:rFonts w:ascii="Arial" w:eastAsia="Times New Roman" w:hAnsi="Arial" w:cs="Arial"/>
                <w:b/>
                <w:bCs/>
                <w:color w:val="FFFFFF"/>
                <w:sz w:val="16"/>
                <w:szCs w:val="16"/>
              </w:rPr>
              <w:t>Definitie</w:t>
            </w:r>
          </w:p>
        </w:tc>
        <w:tc>
          <w:tcPr>
            <w:tcW w:w="0" w:type="auto"/>
            <w:shd w:val="clear" w:color="auto" w:fill="00A1DE"/>
            <w:tcMar>
              <w:top w:w="75" w:type="dxa"/>
              <w:left w:w="75" w:type="dxa"/>
              <w:bottom w:w="75" w:type="dxa"/>
              <w:right w:w="75" w:type="dxa"/>
            </w:tcMar>
            <w:hideMark/>
          </w:tcPr>
          <w:p w:rsidR="005E57F1" w:rsidRPr="005E57F1" w:rsidRDefault="005E57F1" w:rsidP="005E57F1">
            <w:pPr>
              <w:spacing w:after="0" w:line="240" w:lineRule="auto"/>
              <w:rPr>
                <w:rFonts w:ascii="Arial" w:eastAsia="Times New Roman" w:hAnsi="Arial" w:cs="Arial"/>
                <w:color w:val="FFFFFF"/>
                <w:sz w:val="16"/>
                <w:szCs w:val="16"/>
              </w:rPr>
            </w:pPr>
            <w:r w:rsidRPr="005E57F1">
              <w:rPr>
                <w:rFonts w:ascii="Arial" w:eastAsia="Times New Roman" w:hAnsi="Arial" w:cs="Arial"/>
                <w:b/>
                <w:bCs/>
                <w:color w:val="FFFFFF"/>
                <w:sz w:val="16"/>
                <w:szCs w:val="16"/>
              </w:rPr>
              <w:t>Opmerking</w:t>
            </w:r>
          </w:p>
        </w:tc>
      </w:tr>
      <w:tr w:rsidR="005E57F1" w:rsidRPr="005E57F1" w:rsidTr="005E57F1">
        <w:trPr>
          <w:tblCellSpacing w:w="0" w:type="dxa"/>
        </w:trPr>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b/>
                <w:bCs/>
                <w:color w:val="333333"/>
                <w:sz w:val="16"/>
                <w:szCs w:val="16"/>
              </w:rPr>
              <w:t>Arbeidsintensiteit van toegevoegde waarde</w:t>
            </w:r>
          </w:p>
        </w:tc>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color w:val="333333"/>
                <w:sz w:val="16"/>
                <w:szCs w:val="16"/>
              </w:rPr>
              <w:t xml:space="preserve">Loonlast </w:t>
            </w:r>
          </w:p>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color w:val="333333"/>
                <w:sz w:val="16"/>
                <w:szCs w:val="16"/>
              </w:rPr>
              <w:pict>
                <v:rect id="_x0000_i1033" style="width:0;height:1.5pt" o:hralign="center" o:hrstd="t" o:hr="t" fillcolor="#a0a0a0" stroked="f"/>
              </w:pict>
            </w:r>
          </w:p>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color w:val="333333"/>
                <w:sz w:val="16"/>
                <w:szCs w:val="16"/>
              </w:rPr>
              <w:t>Zuivere toegevoegde waarde</w:t>
            </w:r>
          </w:p>
        </w:tc>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color w:val="333333"/>
                <w:sz w:val="16"/>
                <w:szCs w:val="16"/>
              </w:rPr>
              <w:t xml:space="preserve">Reële loonlast </w:t>
            </w:r>
          </w:p>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color w:val="333333"/>
                <w:sz w:val="16"/>
                <w:szCs w:val="16"/>
              </w:rPr>
              <w:pict>
                <v:rect id="_x0000_i1034" style="width:0;height:1.5pt" o:hralign="center" o:hrstd="t" o:hr="t" fillcolor="#a0a0a0" stroked="f"/>
              </w:pict>
            </w:r>
          </w:p>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color w:val="333333"/>
                <w:sz w:val="16"/>
                <w:szCs w:val="16"/>
              </w:rPr>
              <w:t>Zuivere toegevoegde waarde</w:t>
            </w:r>
          </w:p>
        </w:tc>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color w:val="333333"/>
                <w:sz w:val="16"/>
                <w:szCs w:val="16"/>
              </w:rPr>
              <w:t xml:space="preserve">De reële loonlast zijn de loonlasten vermeerderd met de </w:t>
            </w:r>
            <w:proofErr w:type="spellStart"/>
            <w:r w:rsidRPr="005E57F1">
              <w:rPr>
                <w:rFonts w:ascii="Arial" w:eastAsia="Times New Roman" w:hAnsi="Arial" w:cs="Arial"/>
                <w:color w:val="333333"/>
                <w:sz w:val="16"/>
                <w:szCs w:val="16"/>
              </w:rPr>
              <w:t>interimkosten</w:t>
            </w:r>
            <w:proofErr w:type="spellEnd"/>
            <w:r w:rsidRPr="005E57F1">
              <w:rPr>
                <w:rFonts w:ascii="Arial" w:eastAsia="Times New Roman" w:hAnsi="Arial" w:cs="Arial"/>
                <w:color w:val="333333"/>
                <w:sz w:val="16"/>
                <w:szCs w:val="16"/>
              </w:rPr>
              <w:t xml:space="preserve"> en bestuurdersvergoedingen. De recuperatie sociale lasten werkgever brengen we in min van de loonlast.</w:t>
            </w:r>
          </w:p>
        </w:tc>
      </w:tr>
      <w:tr w:rsidR="005E57F1" w:rsidRPr="005E57F1" w:rsidTr="005E57F1">
        <w:trPr>
          <w:tblCellSpacing w:w="0" w:type="dxa"/>
        </w:trPr>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b/>
                <w:bCs/>
                <w:color w:val="333333"/>
                <w:sz w:val="16"/>
                <w:szCs w:val="16"/>
              </w:rPr>
              <w:t>Kapitaalintensiteit van toegevoegde waarde</w:t>
            </w:r>
          </w:p>
        </w:tc>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color w:val="333333"/>
                <w:sz w:val="16"/>
                <w:szCs w:val="16"/>
              </w:rPr>
              <w:t xml:space="preserve">Zuivere toegevoegde waarde </w:t>
            </w:r>
          </w:p>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color w:val="333333"/>
                <w:sz w:val="16"/>
                <w:szCs w:val="16"/>
              </w:rPr>
              <w:pict>
                <v:rect id="_x0000_i1035" style="width:0;height:1.5pt" o:hralign="center" o:hrstd="t" o:hr="t" fillcolor="#a0a0a0" stroked="f"/>
              </w:pict>
            </w:r>
          </w:p>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color w:val="333333"/>
                <w:sz w:val="16"/>
                <w:szCs w:val="16"/>
              </w:rPr>
              <w:t>Bruto materiële vaste activa</w:t>
            </w:r>
          </w:p>
        </w:tc>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color w:val="333333"/>
                <w:sz w:val="16"/>
                <w:szCs w:val="16"/>
              </w:rPr>
              <w:t xml:space="preserve">Zuivere toegevoegde waarde </w:t>
            </w:r>
          </w:p>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color w:val="333333"/>
                <w:sz w:val="16"/>
                <w:szCs w:val="16"/>
              </w:rPr>
              <w:pict>
                <v:rect id="_x0000_i1036" style="width:0;height:1.5pt" o:hralign="center" o:hrstd="t" o:hr="t" fillcolor="#a0a0a0" stroked="f"/>
              </w:pict>
            </w:r>
          </w:p>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color w:val="333333"/>
                <w:sz w:val="16"/>
                <w:szCs w:val="16"/>
              </w:rPr>
              <w:t>Bruto materiële vaste activa</w:t>
            </w:r>
          </w:p>
        </w:tc>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color w:val="333333"/>
                <w:sz w:val="16"/>
                <w:szCs w:val="16"/>
              </w:rPr>
              <w:t>De bruto materiële vaste activa is de aanschaffingswaarde van de materiële vaste activa nodig voor de courante exploitatie.</w:t>
            </w:r>
          </w:p>
        </w:tc>
      </w:tr>
      <w:tr w:rsidR="005E57F1" w:rsidRPr="005E57F1" w:rsidTr="005E57F1">
        <w:trPr>
          <w:tblCellSpacing w:w="0" w:type="dxa"/>
        </w:trPr>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b/>
                <w:bCs/>
                <w:color w:val="333333"/>
                <w:sz w:val="16"/>
                <w:szCs w:val="16"/>
              </w:rPr>
              <w:t>Operationeel rendement</w:t>
            </w:r>
          </w:p>
        </w:tc>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color w:val="333333"/>
                <w:sz w:val="16"/>
                <w:szCs w:val="16"/>
              </w:rPr>
              <w:t xml:space="preserve">EBITDA </w:t>
            </w:r>
          </w:p>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color w:val="333333"/>
                <w:sz w:val="16"/>
                <w:szCs w:val="16"/>
              </w:rPr>
              <w:pict>
                <v:rect id="_x0000_i1037" style="width:0;height:1.5pt" o:hralign="center" o:hrstd="t" o:hr="t" fillcolor="#a0a0a0" stroked="f"/>
              </w:pict>
            </w:r>
          </w:p>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color w:val="333333"/>
                <w:sz w:val="16"/>
                <w:szCs w:val="16"/>
              </w:rPr>
              <w:t>Omzet</w:t>
            </w:r>
          </w:p>
        </w:tc>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color w:val="333333"/>
                <w:sz w:val="16"/>
                <w:szCs w:val="16"/>
              </w:rPr>
              <w:t xml:space="preserve">EBITDA </w:t>
            </w:r>
          </w:p>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color w:val="333333"/>
                <w:sz w:val="16"/>
                <w:szCs w:val="16"/>
              </w:rPr>
              <w:pict>
                <v:rect id="_x0000_i1038" style="width:0;height:1.5pt" o:hralign="center" o:hrstd="t" o:hr="t" fillcolor="#a0a0a0" stroked="f"/>
              </w:pict>
            </w:r>
          </w:p>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color w:val="333333"/>
                <w:sz w:val="16"/>
                <w:szCs w:val="16"/>
              </w:rPr>
              <w:t>Omzet</w:t>
            </w:r>
          </w:p>
        </w:tc>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color w:val="333333"/>
                <w:sz w:val="16"/>
                <w:szCs w:val="16"/>
              </w:rPr>
              <w:t>EBITDA (</w:t>
            </w:r>
            <w:proofErr w:type="spellStart"/>
            <w:r w:rsidRPr="005E57F1">
              <w:rPr>
                <w:rFonts w:ascii="Arial" w:eastAsia="Times New Roman" w:hAnsi="Arial" w:cs="Arial"/>
                <w:color w:val="333333"/>
                <w:sz w:val="16"/>
                <w:szCs w:val="16"/>
              </w:rPr>
              <w:t>Earnings</w:t>
            </w:r>
            <w:proofErr w:type="spellEnd"/>
            <w:r w:rsidRPr="005E57F1">
              <w:rPr>
                <w:rFonts w:ascii="Arial" w:eastAsia="Times New Roman" w:hAnsi="Arial" w:cs="Arial"/>
                <w:color w:val="333333"/>
                <w:sz w:val="16"/>
                <w:szCs w:val="16"/>
              </w:rPr>
              <w:t xml:space="preserve"> </w:t>
            </w:r>
            <w:proofErr w:type="spellStart"/>
            <w:r w:rsidRPr="005E57F1">
              <w:rPr>
                <w:rFonts w:ascii="Arial" w:eastAsia="Times New Roman" w:hAnsi="Arial" w:cs="Arial"/>
                <w:color w:val="333333"/>
                <w:sz w:val="16"/>
                <w:szCs w:val="16"/>
              </w:rPr>
              <w:t>before</w:t>
            </w:r>
            <w:proofErr w:type="spellEnd"/>
            <w:r w:rsidRPr="005E57F1">
              <w:rPr>
                <w:rFonts w:ascii="Arial" w:eastAsia="Times New Roman" w:hAnsi="Arial" w:cs="Arial"/>
                <w:color w:val="333333"/>
                <w:sz w:val="16"/>
                <w:szCs w:val="16"/>
              </w:rPr>
              <w:t xml:space="preserve"> interest, </w:t>
            </w:r>
            <w:proofErr w:type="spellStart"/>
            <w:r w:rsidRPr="005E57F1">
              <w:rPr>
                <w:rFonts w:ascii="Arial" w:eastAsia="Times New Roman" w:hAnsi="Arial" w:cs="Arial"/>
                <w:color w:val="333333"/>
                <w:sz w:val="16"/>
                <w:szCs w:val="16"/>
              </w:rPr>
              <w:t>taxes</w:t>
            </w:r>
            <w:proofErr w:type="spellEnd"/>
            <w:r w:rsidRPr="005E57F1">
              <w:rPr>
                <w:rFonts w:ascii="Arial" w:eastAsia="Times New Roman" w:hAnsi="Arial" w:cs="Arial"/>
                <w:color w:val="333333"/>
                <w:sz w:val="16"/>
                <w:szCs w:val="16"/>
              </w:rPr>
              <w:t xml:space="preserve">, </w:t>
            </w:r>
            <w:proofErr w:type="spellStart"/>
            <w:r w:rsidRPr="005E57F1">
              <w:rPr>
                <w:rFonts w:ascii="Arial" w:eastAsia="Times New Roman" w:hAnsi="Arial" w:cs="Arial"/>
                <w:color w:val="333333"/>
                <w:sz w:val="16"/>
                <w:szCs w:val="16"/>
              </w:rPr>
              <w:t>depreciation</w:t>
            </w:r>
            <w:proofErr w:type="spellEnd"/>
            <w:r w:rsidRPr="005E57F1">
              <w:rPr>
                <w:rFonts w:ascii="Arial" w:eastAsia="Times New Roman" w:hAnsi="Arial" w:cs="Arial"/>
                <w:color w:val="333333"/>
                <w:sz w:val="16"/>
                <w:szCs w:val="16"/>
              </w:rPr>
              <w:t xml:space="preserve"> and </w:t>
            </w:r>
            <w:proofErr w:type="spellStart"/>
            <w:r w:rsidRPr="005E57F1">
              <w:rPr>
                <w:rFonts w:ascii="Arial" w:eastAsia="Times New Roman" w:hAnsi="Arial" w:cs="Arial"/>
                <w:color w:val="333333"/>
                <w:sz w:val="16"/>
                <w:szCs w:val="16"/>
              </w:rPr>
              <w:t>amortization</w:t>
            </w:r>
            <w:proofErr w:type="spellEnd"/>
            <w:r w:rsidRPr="005E57F1">
              <w:rPr>
                <w:rFonts w:ascii="Arial" w:eastAsia="Times New Roman" w:hAnsi="Arial" w:cs="Arial"/>
                <w:color w:val="333333"/>
                <w:sz w:val="16"/>
                <w:szCs w:val="16"/>
              </w:rPr>
              <w:t>) elimineert de impact van de financiering, toegepaste waarderingsmethodes en het belastingregime op het resultaat van de onderneming en vormt zo een uitstekende basis om het rendement van ondernemingen onderling met elkaar te vergelijken.</w:t>
            </w:r>
          </w:p>
        </w:tc>
      </w:tr>
      <w:tr w:rsidR="005E57F1" w:rsidRPr="005E57F1" w:rsidTr="005E57F1">
        <w:trPr>
          <w:tblCellSpacing w:w="0" w:type="dxa"/>
        </w:trPr>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b/>
                <w:bCs/>
                <w:color w:val="333333"/>
                <w:sz w:val="16"/>
                <w:szCs w:val="16"/>
              </w:rPr>
              <w:t>Financieel nettorendement</w:t>
            </w:r>
          </w:p>
        </w:tc>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color w:val="333333"/>
                <w:sz w:val="16"/>
                <w:szCs w:val="16"/>
              </w:rPr>
              <w:t>Nettorendement</w:t>
            </w:r>
          </w:p>
        </w:tc>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color w:val="333333"/>
                <w:sz w:val="16"/>
                <w:szCs w:val="16"/>
              </w:rPr>
              <w:t xml:space="preserve">Nettowinst + </w:t>
            </w:r>
            <w:proofErr w:type="spellStart"/>
            <w:r w:rsidRPr="005E57F1">
              <w:rPr>
                <w:rFonts w:ascii="Arial" w:eastAsia="Times New Roman" w:hAnsi="Arial" w:cs="Arial"/>
                <w:color w:val="333333"/>
                <w:sz w:val="16"/>
                <w:szCs w:val="16"/>
              </w:rPr>
              <w:t>netto-intrestlast</w:t>
            </w:r>
            <w:proofErr w:type="spellEnd"/>
            <w:r w:rsidRPr="005E57F1">
              <w:rPr>
                <w:rFonts w:ascii="Arial" w:eastAsia="Times New Roman" w:hAnsi="Arial" w:cs="Arial"/>
                <w:color w:val="333333"/>
                <w:sz w:val="16"/>
                <w:szCs w:val="16"/>
              </w:rPr>
              <w:t xml:space="preserve"> op rekening-courant </w:t>
            </w:r>
          </w:p>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color w:val="333333"/>
                <w:sz w:val="16"/>
                <w:szCs w:val="16"/>
              </w:rPr>
              <w:pict>
                <v:rect id="_x0000_i1039" style="width:0;height:1.5pt" o:hralign="center" o:hrstd="t" o:hr="t" fillcolor="#a0a0a0" stroked="f"/>
              </w:pict>
            </w:r>
          </w:p>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color w:val="333333"/>
                <w:sz w:val="16"/>
                <w:szCs w:val="16"/>
              </w:rPr>
              <w:t>Reëel eigen vermogen</w:t>
            </w:r>
          </w:p>
        </w:tc>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color w:val="333333"/>
                <w:sz w:val="16"/>
                <w:szCs w:val="16"/>
              </w:rPr>
              <w:t xml:space="preserve">Vermits wij in deze studie de R/C en voorschotten van bestuurders als eigen vermogen beschouwen, brengen we de vergoeding die deze ontvangen hier niet als een kost, maar als een </w:t>
            </w:r>
            <w:proofErr w:type="spellStart"/>
            <w:r w:rsidRPr="005E57F1">
              <w:rPr>
                <w:rFonts w:ascii="Arial" w:eastAsia="Times New Roman" w:hAnsi="Arial" w:cs="Arial"/>
                <w:color w:val="333333"/>
                <w:sz w:val="16"/>
                <w:szCs w:val="16"/>
              </w:rPr>
              <w:t>quasi-dividend</w:t>
            </w:r>
            <w:proofErr w:type="spellEnd"/>
            <w:r w:rsidRPr="005E57F1">
              <w:rPr>
                <w:rFonts w:ascii="Arial" w:eastAsia="Times New Roman" w:hAnsi="Arial" w:cs="Arial"/>
                <w:color w:val="333333"/>
                <w:sz w:val="16"/>
                <w:szCs w:val="16"/>
              </w:rPr>
              <w:t xml:space="preserve"> in rekening.</w:t>
            </w:r>
          </w:p>
        </w:tc>
      </w:tr>
      <w:tr w:rsidR="005E57F1" w:rsidRPr="005E57F1" w:rsidTr="005E57F1">
        <w:trPr>
          <w:tblCellSpacing w:w="0" w:type="dxa"/>
        </w:trPr>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b/>
                <w:bCs/>
                <w:color w:val="333333"/>
                <w:sz w:val="16"/>
                <w:szCs w:val="16"/>
              </w:rPr>
              <w:t>Winstgevendheid van de ingezette middelen</w:t>
            </w:r>
          </w:p>
        </w:tc>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color w:val="333333"/>
                <w:sz w:val="16"/>
                <w:szCs w:val="16"/>
              </w:rPr>
              <w:t>ROCE</w:t>
            </w:r>
            <w:r w:rsidRPr="005E57F1">
              <w:rPr>
                <w:rFonts w:ascii="Arial" w:eastAsia="Times New Roman" w:hAnsi="Arial" w:cs="Arial"/>
                <w:color w:val="333333"/>
                <w:sz w:val="16"/>
                <w:szCs w:val="16"/>
              </w:rPr>
              <w:br/>
              <w:t xml:space="preserve">(Return </w:t>
            </w:r>
            <w:proofErr w:type="spellStart"/>
            <w:r w:rsidRPr="005E57F1">
              <w:rPr>
                <w:rFonts w:ascii="Arial" w:eastAsia="Times New Roman" w:hAnsi="Arial" w:cs="Arial"/>
                <w:color w:val="333333"/>
                <w:sz w:val="16"/>
                <w:szCs w:val="16"/>
              </w:rPr>
              <w:t>on</w:t>
            </w:r>
            <w:proofErr w:type="spellEnd"/>
            <w:r w:rsidRPr="005E57F1">
              <w:rPr>
                <w:rFonts w:ascii="Arial" w:eastAsia="Times New Roman" w:hAnsi="Arial" w:cs="Arial"/>
                <w:color w:val="333333"/>
                <w:sz w:val="16"/>
                <w:szCs w:val="16"/>
              </w:rPr>
              <w:t xml:space="preserve"> </w:t>
            </w:r>
            <w:proofErr w:type="spellStart"/>
            <w:r w:rsidRPr="005E57F1">
              <w:rPr>
                <w:rFonts w:ascii="Arial" w:eastAsia="Times New Roman" w:hAnsi="Arial" w:cs="Arial"/>
                <w:color w:val="333333"/>
                <w:sz w:val="16"/>
                <w:szCs w:val="16"/>
              </w:rPr>
              <w:t>capital</w:t>
            </w:r>
            <w:proofErr w:type="spellEnd"/>
            <w:r w:rsidRPr="005E57F1">
              <w:rPr>
                <w:rFonts w:ascii="Arial" w:eastAsia="Times New Roman" w:hAnsi="Arial" w:cs="Arial"/>
                <w:color w:val="333333"/>
                <w:sz w:val="16"/>
                <w:szCs w:val="16"/>
              </w:rPr>
              <w:t xml:space="preserve"> </w:t>
            </w:r>
            <w:proofErr w:type="spellStart"/>
            <w:r w:rsidRPr="005E57F1">
              <w:rPr>
                <w:rFonts w:ascii="Arial" w:eastAsia="Times New Roman" w:hAnsi="Arial" w:cs="Arial"/>
                <w:color w:val="333333"/>
                <w:sz w:val="16"/>
                <w:szCs w:val="16"/>
              </w:rPr>
              <w:t>employed</w:t>
            </w:r>
            <w:proofErr w:type="spellEnd"/>
            <w:r w:rsidRPr="005E57F1">
              <w:rPr>
                <w:rFonts w:ascii="Arial" w:eastAsia="Times New Roman" w:hAnsi="Arial" w:cs="Arial"/>
                <w:color w:val="333333"/>
                <w:sz w:val="16"/>
                <w:szCs w:val="16"/>
              </w:rPr>
              <w:t>)</w:t>
            </w:r>
          </w:p>
        </w:tc>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spacing w:after="0" w:line="240" w:lineRule="auto"/>
              <w:jc w:val="center"/>
              <w:rPr>
                <w:rFonts w:ascii="Arial" w:eastAsia="Times New Roman" w:hAnsi="Arial" w:cs="Arial"/>
                <w:b/>
                <w:color w:val="333333"/>
                <w:sz w:val="16"/>
                <w:szCs w:val="16"/>
              </w:rPr>
            </w:pPr>
            <w:r w:rsidRPr="005E57F1">
              <w:rPr>
                <w:rFonts w:ascii="Arial" w:eastAsia="Times New Roman" w:hAnsi="Arial" w:cs="Arial"/>
                <w:b/>
                <w:color w:val="333333"/>
                <w:sz w:val="16"/>
                <w:szCs w:val="16"/>
              </w:rPr>
              <w:t xml:space="preserve">EBIT </w:t>
            </w:r>
          </w:p>
          <w:p w:rsidR="005E57F1" w:rsidRPr="005E57F1" w:rsidRDefault="005E57F1" w:rsidP="005E57F1">
            <w:pPr>
              <w:spacing w:after="0" w:line="240" w:lineRule="auto"/>
              <w:jc w:val="center"/>
              <w:rPr>
                <w:rFonts w:ascii="Arial" w:eastAsia="Times New Roman" w:hAnsi="Arial" w:cs="Arial"/>
                <w:b/>
                <w:color w:val="333333"/>
                <w:sz w:val="16"/>
                <w:szCs w:val="16"/>
              </w:rPr>
            </w:pPr>
            <w:r w:rsidRPr="005E57F1">
              <w:rPr>
                <w:rFonts w:ascii="Arial" w:eastAsia="Times New Roman" w:hAnsi="Arial" w:cs="Arial"/>
                <w:b/>
                <w:color w:val="333333"/>
                <w:sz w:val="16"/>
                <w:szCs w:val="16"/>
              </w:rPr>
              <w:pict>
                <v:rect id="_x0000_i1040" style="width:0;height:1.5pt" o:hralign="center" o:hrstd="t" o:hr="t" fillcolor="#a0a0a0" stroked="f"/>
              </w:pict>
            </w:r>
          </w:p>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color w:val="333333"/>
                <w:sz w:val="16"/>
                <w:szCs w:val="16"/>
              </w:rPr>
              <w:t>Reëel eigen vermogen + Intrestdragend vreemd vermogen</w:t>
            </w:r>
          </w:p>
        </w:tc>
        <w:tc>
          <w:tcPr>
            <w:tcW w:w="0" w:type="auto"/>
            <w:tcBorders>
              <w:bottom w:val="single" w:sz="6" w:space="0" w:color="00A1DE"/>
            </w:tcBorders>
            <w:tcMar>
              <w:top w:w="45" w:type="dxa"/>
              <w:left w:w="75" w:type="dxa"/>
              <w:bottom w:w="75" w:type="dxa"/>
              <w:right w:w="75" w:type="dxa"/>
            </w:tcMar>
            <w:hideMark/>
          </w:tcPr>
          <w:p w:rsidR="005E57F1" w:rsidRPr="005E57F1" w:rsidRDefault="005E57F1" w:rsidP="005E57F1">
            <w:pPr>
              <w:spacing w:after="0" w:line="240" w:lineRule="auto"/>
              <w:jc w:val="center"/>
              <w:rPr>
                <w:rFonts w:ascii="Arial" w:eastAsia="Times New Roman" w:hAnsi="Arial" w:cs="Arial"/>
                <w:color w:val="333333"/>
                <w:sz w:val="16"/>
                <w:szCs w:val="16"/>
              </w:rPr>
            </w:pPr>
            <w:r w:rsidRPr="005E57F1">
              <w:rPr>
                <w:rFonts w:ascii="Arial" w:eastAsia="Times New Roman" w:hAnsi="Arial" w:cs="Arial"/>
                <w:color w:val="333333"/>
                <w:sz w:val="16"/>
                <w:szCs w:val="16"/>
              </w:rPr>
              <w:t xml:space="preserve">EBIT = </w:t>
            </w:r>
            <w:proofErr w:type="spellStart"/>
            <w:r w:rsidRPr="005E57F1">
              <w:rPr>
                <w:rFonts w:ascii="Arial" w:eastAsia="Times New Roman" w:hAnsi="Arial" w:cs="Arial"/>
                <w:color w:val="333333"/>
                <w:sz w:val="16"/>
                <w:szCs w:val="16"/>
              </w:rPr>
              <w:t>Earnings</w:t>
            </w:r>
            <w:proofErr w:type="spellEnd"/>
            <w:r w:rsidRPr="005E57F1">
              <w:rPr>
                <w:rFonts w:ascii="Arial" w:eastAsia="Times New Roman" w:hAnsi="Arial" w:cs="Arial"/>
                <w:color w:val="333333"/>
                <w:sz w:val="16"/>
                <w:szCs w:val="16"/>
              </w:rPr>
              <w:t xml:space="preserve"> </w:t>
            </w:r>
            <w:proofErr w:type="spellStart"/>
            <w:r w:rsidRPr="005E57F1">
              <w:rPr>
                <w:rFonts w:ascii="Arial" w:eastAsia="Times New Roman" w:hAnsi="Arial" w:cs="Arial"/>
                <w:color w:val="333333"/>
                <w:sz w:val="16"/>
                <w:szCs w:val="16"/>
              </w:rPr>
              <w:t>before</w:t>
            </w:r>
            <w:proofErr w:type="spellEnd"/>
            <w:r w:rsidRPr="005E57F1">
              <w:rPr>
                <w:rFonts w:ascii="Arial" w:eastAsia="Times New Roman" w:hAnsi="Arial" w:cs="Arial"/>
                <w:color w:val="333333"/>
                <w:sz w:val="16"/>
                <w:szCs w:val="16"/>
              </w:rPr>
              <w:t xml:space="preserve"> </w:t>
            </w:r>
            <w:proofErr w:type="spellStart"/>
            <w:r w:rsidRPr="005E57F1">
              <w:rPr>
                <w:rFonts w:ascii="Arial" w:eastAsia="Times New Roman" w:hAnsi="Arial" w:cs="Arial"/>
                <w:color w:val="333333"/>
                <w:sz w:val="16"/>
                <w:szCs w:val="16"/>
              </w:rPr>
              <w:t>interests</w:t>
            </w:r>
            <w:proofErr w:type="spellEnd"/>
            <w:r w:rsidRPr="005E57F1">
              <w:rPr>
                <w:rFonts w:ascii="Arial" w:eastAsia="Times New Roman" w:hAnsi="Arial" w:cs="Arial"/>
                <w:color w:val="333333"/>
                <w:sz w:val="16"/>
                <w:szCs w:val="16"/>
              </w:rPr>
              <w:t xml:space="preserve"> and </w:t>
            </w:r>
            <w:proofErr w:type="spellStart"/>
            <w:r w:rsidRPr="005E57F1">
              <w:rPr>
                <w:rFonts w:ascii="Arial" w:eastAsia="Times New Roman" w:hAnsi="Arial" w:cs="Arial"/>
                <w:color w:val="333333"/>
                <w:sz w:val="16"/>
                <w:szCs w:val="16"/>
              </w:rPr>
              <w:t>taxes</w:t>
            </w:r>
            <w:proofErr w:type="spellEnd"/>
            <w:r w:rsidRPr="005E57F1">
              <w:rPr>
                <w:rFonts w:ascii="Arial" w:eastAsia="Times New Roman" w:hAnsi="Arial" w:cs="Arial"/>
                <w:color w:val="333333"/>
                <w:sz w:val="16"/>
                <w:szCs w:val="16"/>
              </w:rPr>
              <w:t xml:space="preserve"> (operationeel resultaat)</w:t>
            </w:r>
          </w:p>
        </w:tc>
      </w:tr>
    </w:tbl>
    <w:p w:rsidR="00F34710" w:rsidRDefault="00F34710" w:rsidP="005E57F1"/>
    <w:sectPr w:rsidR="00F34710" w:rsidSect="005E57F1">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E57F1"/>
    <w:rsid w:val="005E57F1"/>
    <w:rsid w:val="00F3471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5E57F1"/>
    <w:pPr>
      <w:spacing w:before="100" w:beforeAutospacing="1" w:after="48" w:line="240" w:lineRule="auto"/>
      <w:outlineLvl w:val="0"/>
    </w:pPr>
    <w:rPr>
      <w:rFonts w:ascii="Arial" w:eastAsia="Times New Roman" w:hAnsi="Arial" w:cs="Arial"/>
      <w:b/>
      <w:bCs/>
      <w:color w:val="00A1DE"/>
      <w:kern w:val="36"/>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E57F1"/>
    <w:rPr>
      <w:rFonts w:ascii="Arial" w:eastAsia="Times New Roman" w:hAnsi="Arial" w:cs="Arial"/>
      <w:b/>
      <w:bCs/>
      <w:color w:val="00A1DE"/>
      <w:kern w:val="36"/>
      <w:sz w:val="36"/>
      <w:szCs w:val="36"/>
    </w:rPr>
  </w:style>
  <w:style w:type="paragraph" w:styleId="Normaalweb">
    <w:name w:val="Normal (Web)"/>
    <w:basedOn w:val="Standaard"/>
    <w:uiPriority w:val="99"/>
    <w:unhideWhenUsed/>
    <w:rsid w:val="005E57F1"/>
    <w:pPr>
      <w:spacing w:after="100" w:afterAutospacing="1" w:line="240" w:lineRule="auto"/>
    </w:pPr>
    <w:rPr>
      <w:rFonts w:ascii="Arial" w:eastAsia="Times New Roman" w:hAnsi="Arial" w:cs="Arial"/>
      <w:color w:val="333333"/>
      <w:sz w:val="24"/>
      <w:szCs w:val="24"/>
    </w:rPr>
  </w:style>
  <w:style w:type="character" w:styleId="Zwaar">
    <w:name w:val="Strong"/>
    <w:basedOn w:val="Standaardalinea-lettertype"/>
    <w:uiPriority w:val="22"/>
    <w:qFormat/>
    <w:rsid w:val="005E57F1"/>
    <w:rPr>
      <w:b/>
      <w:bCs/>
    </w:rPr>
  </w:style>
  <w:style w:type="paragraph" w:styleId="Geenafstand">
    <w:name w:val="No Spacing"/>
    <w:uiPriority w:val="1"/>
    <w:qFormat/>
    <w:rsid w:val="005E57F1"/>
    <w:pPr>
      <w:spacing w:after="0" w:line="240" w:lineRule="auto"/>
    </w:pPr>
  </w:style>
</w:styles>
</file>

<file path=word/webSettings.xml><?xml version="1.0" encoding="utf-8"?>
<w:webSettings xmlns:r="http://schemas.openxmlformats.org/officeDocument/2006/relationships" xmlns:w="http://schemas.openxmlformats.org/wordprocessingml/2006/main">
  <w:divs>
    <w:div w:id="1231186849">
      <w:bodyDiv w:val="1"/>
      <w:marLeft w:val="0"/>
      <w:marRight w:val="0"/>
      <w:marTop w:val="0"/>
      <w:marBottom w:val="0"/>
      <w:divBdr>
        <w:top w:val="none" w:sz="0" w:space="0" w:color="auto"/>
        <w:left w:val="none" w:sz="0" w:space="0" w:color="auto"/>
        <w:bottom w:val="none" w:sz="0" w:space="0" w:color="auto"/>
        <w:right w:val="none" w:sz="0" w:space="0" w:color="auto"/>
      </w:divBdr>
      <w:divsChild>
        <w:div w:id="971983332">
          <w:marLeft w:val="-7680"/>
          <w:marRight w:val="0"/>
          <w:marTop w:val="0"/>
          <w:marBottom w:val="0"/>
          <w:divBdr>
            <w:top w:val="none" w:sz="0" w:space="0" w:color="auto"/>
            <w:left w:val="none" w:sz="0" w:space="0" w:color="auto"/>
            <w:bottom w:val="none" w:sz="0" w:space="0" w:color="auto"/>
            <w:right w:val="none" w:sz="0" w:space="0" w:color="auto"/>
          </w:divBdr>
          <w:divsChild>
            <w:div w:id="1214267775">
              <w:marLeft w:val="0"/>
              <w:marRight w:val="0"/>
              <w:marTop w:val="405"/>
              <w:marBottom w:val="0"/>
              <w:divBdr>
                <w:top w:val="none" w:sz="0" w:space="0" w:color="auto"/>
                <w:left w:val="none" w:sz="0" w:space="0" w:color="auto"/>
                <w:bottom w:val="none" w:sz="0" w:space="0" w:color="auto"/>
                <w:right w:val="none" w:sz="0" w:space="0" w:color="auto"/>
              </w:divBdr>
              <w:divsChild>
                <w:div w:id="1437095914">
                  <w:marLeft w:val="0"/>
                  <w:marRight w:val="0"/>
                  <w:marTop w:val="0"/>
                  <w:marBottom w:val="0"/>
                  <w:divBdr>
                    <w:top w:val="none" w:sz="0" w:space="0" w:color="auto"/>
                    <w:left w:val="none" w:sz="0" w:space="0" w:color="auto"/>
                    <w:bottom w:val="none" w:sz="0" w:space="0" w:color="auto"/>
                    <w:right w:val="none" w:sz="0" w:space="0" w:color="auto"/>
                  </w:divBdr>
                  <w:divsChild>
                    <w:div w:id="146014527">
                      <w:marLeft w:val="0"/>
                      <w:marRight w:val="0"/>
                      <w:marTop w:val="0"/>
                      <w:marBottom w:val="0"/>
                      <w:divBdr>
                        <w:top w:val="none" w:sz="0" w:space="0" w:color="auto"/>
                        <w:left w:val="none" w:sz="0" w:space="0" w:color="auto"/>
                        <w:bottom w:val="none" w:sz="0" w:space="0" w:color="auto"/>
                        <w:right w:val="none" w:sz="0" w:space="0" w:color="auto"/>
                      </w:divBdr>
                      <w:divsChild>
                        <w:div w:id="2088305444">
                          <w:marLeft w:val="0"/>
                          <w:marRight w:val="0"/>
                          <w:marTop w:val="0"/>
                          <w:marBottom w:val="0"/>
                          <w:divBdr>
                            <w:top w:val="none" w:sz="0" w:space="0" w:color="auto"/>
                            <w:left w:val="none" w:sz="0" w:space="0" w:color="auto"/>
                            <w:bottom w:val="none" w:sz="0" w:space="0" w:color="auto"/>
                            <w:right w:val="none" w:sz="0" w:space="0" w:color="auto"/>
                          </w:divBdr>
                          <w:divsChild>
                            <w:div w:id="1755468979">
                              <w:marLeft w:val="0"/>
                              <w:marRight w:val="150"/>
                              <w:marTop w:val="0"/>
                              <w:marBottom w:val="0"/>
                              <w:divBdr>
                                <w:top w:val="none" w:sz="0" w:space="0" w:color="auto"/>
                                <w:left w:val="none" w:sz="0" w:space="0" w:color="auto"/>
                                <w:bottom w:val="none" w:sz="0" w:space="0" w:color="auto"/>
                                <w:right w:val="none" w:sz="0" w:space="0" w:color="auto"/>
                              </w:divBdr>
                              <w:divsChild>
                                <w:div w:id="368260246">
                                  <w:marLeft w:val="-60"/>
                                  <w:marRight w:val="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517</Words>
  <Characters>2848</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dc:creator>
  <cp:keywords/>
  <dc:description/>
  <cp:lastModifiedBy>hendrik</cp:lastModifiedBy>
  <cp:revision>2</cp:revision>
  <dcterms:created xsi:type="dcterms:W3CDTF">2009-09-16T06:30:00Z</dcterms:created>
  <dcterms:modified xsi:type="dcterms:W3CDTF">2009-09-16T06:35:00Z</dcterms:modified>
</cp:coreProperties>
</file>